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Nota metodológica · Vibe Coding Platform</w:t>
      </w:r>
    </w:p>
    <w:p>
      <w:r>
        <w:rPr>
          <w:b w:val="0"/>
          <w:i/>
        </w:rPr>
        <w:t>Proyecto final · Vibe Coding CEDIA 2026</w:t>
      </w:r>
    </w:p>
    <w:p>
      <w:r>
        <w:rPr>
          <w:b w:val="0"/>
          <w:i w:val="0"/>
        </w:rPr>
        <w:t>Francisco Javier Higuera González (UTE, VC-2026-008) · Carlos Byron Bermeo León (UTPL, VC-2026-038)</w:t>
      </w:r>
    </w:p>
    <w:p>
      <w:r>
        <w:rPr>
          <w:b w:val="0"/>
          <w:i w:val="0"/>
        </w:rPr>
        <w:t>Guías de proyecto: Guía 02 (análisis de imágenes con IA) y Guía 18 (actividad interactiva/simulación)</w:t>
      </w:r>
    </w:p>
    <w:p>
      <w:r>
        <w:rPr>
          <w:b w:val="0"/>
          <w:i w:val="0"/>
        </w:rPr>
      </w:r>
    </w:p>
    <w:p>
      <w:pPr>
        <w:pStyle w:val="Heading1"/>
      </w:pPr>
      <w:r>
        <w:t>1. Propósito y límite</w:t>
      </w:r>
    </w:p>
    <w:p>
      <w:r>
        <w:rPr>
          <w:b w:val="0"/>
          <w:i w:val="0"/>
        </w:rPr>
        <w:t>Vibe Coding Platform es una plataforma educativa para practicar dos habilidades del curso: construir, paso a paso y con ayuda de un tutor de inteligencia artificial, una actividad interactiva de predicción basada en un modelo físico simple (distancia = velocidad × tiempo); y construir un prototipo de conteo de objetos en imágenes mediante una regla explícita, no un modelo entrenado.</w:t>
      </w:r>
    </w:p>
    <w:p>
      <w:r>
        <w:rPr>
          <w:b w:val="0"/>
          <w:i w:val="0"/>
        </w:rPr>
        <w:t>Hasta dónde llega: la plataforma organiza prácticas, roles y permisos, registra el envío y la evaluación de cada estudiante, y ofrece pistas de un tutor de IA con límites fijos de iteraciones y de tokens. No entrena ni ajusta un modelo de visión ni de lenguaje propio; usa un adaptador de IA desacoplado (interfaz AIProvider) que en desarrollo es una implementación determinista local y en producción puede ser un proveedor real (Anthropic). No sustituye la evaluación docente de las competencias del curso: los casos que la plataforma marca para revisión manual los decide siempre una persona, nunca la IA.</w:t>
      </w:r>
    </w:p>
    <w:p>
      <w:pPr>
        <w:pStyle w:val="Heading1"/>
      </w:pPr>
      <w:r>
        <w:t>2. Recorrido revisable</w:t>
      </w:r>
    </w:p>
    <w:p>
      <w:pPr>
        <w:pStyle w:val="Heading2"/>
      </w:pPr>
      <w:r>
        <w:t>2.1 Práctica de simulación interactiva (software)</w:t>
      </w:r>
    </w:p>
    <w:p>
      <w:r>
        <w:rPr>
          <w:b w:val="0"/>
          <w:i w:val="0"/>
        </w:rPr>
        <w:t>Entrada: la persona predice una distancia antes de ver los controles, exactamente como exige la guía 18, y luego ajusta velocidad (0–100 km/h) y tiempo (0–3 h).</w:t>
      </w:r>
    </w:p>
    <w:p>
      <w:r>
        <w:rPr>
          <w:b w:val="0"/>
          <w:i w:val="0"/>
        </w:rPr>
        <w:t>Regla aplicada: un programa calcula distancia = velocidad × tiempo en código; el modelo de lenguaje nunca calcula ni inventa el número. La secuencia predecir → ajustar → ejecutar → observar → explicar es fija: no se puede ajustar sin haber predicho antes.</w:t>
      </w:r>
    </w:p>
    <w:p>
      <w:r>
        <w:rPr>
          <w:b w:val="0"/>
          <w:i w:val="0"/>
        </w:rPr>
        <w:t>Resultado y evidencia: el resultado se muestra con su equivalente en palabras (accesibilidad) y una retroalimentación que compara la predicción con el resultado y nombra la proporcionalidad directa. La evidencia de que el cálculo es correcto son las pruebas automatizadas del caso 60 km/h × 2 h = 120 km y los casos límite (tiempo 0, valores fuera de rango).</w:t>
      </w:r>
    </w:p>
    <w:p>
      <w:pPr>
        <w:pStyle w:val="Heading2"/>
      </w:pPr>
      <w:r>
        <w:t>2.2 Práctica de conteo de imágenes</w:t>
      </w:r>
    </w:p>
    <w:p>
      <w:r>
        <w:rPr>
          <w:b w:val="0"/>
          <w:i w:val="0"/>
        </w:rPr>
        <w:t>Entrada: la persona carga una fotografía de círculos de papel de colores.</w:t>
      </w:r>
    </w:p>
    <w:p>
      <w:r>
        <w:rPr>
          <w:b w:val="0"/>
          <w:i w:val="0"/>
        </w:rPr>
        <w:t>Regla aplicada: se calcula una máscara de saturación de color (umbral sobre el canal máximo menos el mínimo por píxel), se etiquetan sus componentes conexas y se descartan regiones menores a un área mínima. Antes de contar, la regla evalúa si la imagen es ilegible: calcula la varianza de un laplaciano discreto sobre la escala de grises y, solo cuando hay suficiente color presente para que el juicio sea válido, declara ilegible una imagen por debajo de un umbral de varianza. Una escena legítimamente vacía (sin color saturado) cuenta cero sin advertencia; una imagen borrosa cuenta cero con advertencia explícita de ilegibilidad, en vez de adivinar un número.</w:t>
      </w:r>
    </w:p>
    <w:p>
      <w:r>
        <w:rPr>
          <w:b w:val="0"/>
          <w:i w:val="0"/>
        </w:rPr>
        <w:t>Resultado y evidencia: el conteo propuesto, el área mínima usada y la bandera de ilegibilidad quedan en el detalle de cada análisis. La evidencia es un conjunto de pruebas automatizadas con imágenes de cero, uno, dos y varios objetos, incluida una imagen deliberadamente borrosa, que confirmaron el comportamiento esperado en cada caso.</w:t>
      </w:r>
    </w:p>
    <w:p>
      <w:pPr>
        <w:pStyle w:val="Heading2"/>
      </w:pPr>
      <w:r>
        <w:t>2.3 Evidencia general</w:t>
      </w:r>
    </w:p>
    <w:p>
      <w:r>
        <w:rPr>
          <w:b w:val="0"/>
          <w:i w:val="0"/>
        </w:rPr>
        <w:t>Al cierre de esta nota, el repositorio del proyecto registra 68 pruebas automatizadas del servidor y 19 pruebas automatizadas del navegador, todas aprobadas en la referencia de código 6814c27 (2 de octubre de 2026). La plataforma está desplegada en un servidor real, sin contenedores, para no saturar un servidor compartido con otros proyectos de la universidad; el inicio de sesión del equipo docente se confirmó funcionando en producción.</w:t>
      </w:r>
    </w:p>
    <w:p>
      <w:pPr>
        <w:pStyle w:val="Heading1"/>
      </w:pPr>
      <w:r>
        <w:t>3. Aportes de la inteligencia artificial y de las personas</w:t>
      </w:r>
    </w:p>
    <w:p>
      <w:pPr>
        <w:pStyle w:val="Heading3"/>
      </w:pPr>
      <w:r>
        <w:t>Tutor de IA de la plataforma (AIProvider: MockAIAdapter en desarrollo / AnthropicAdapter en producción)</w:t>
      </w:r>
    </w:p>
    <w:p>
      <w:pPr>
        <w:pStyle w:val="ListBullet"/>
      </w:pPr>
      <w:r>
        <w:t>Tarea: ofrecer pistas y retroalimentación durante una práctica</w:t>
      </w:r>
    </w:p>
    <w:p>
      <w:pPr>
        <w:pStyle w:val="ListBullet"/>
      </w:pPr>
      <w:r>
        <w:t>Entrada: el estado de la práctica, la predicción o el envío parcial del estudiante</w:t>
      </w:r>
    </w:p>
    <w:p>
      <w:pPr>
        <w:pStyle w:val="ListBullet"/>
      </w:pPr>
      <w:r>
        <w:t>Producto: pistas o retroalimentación de texto, con un límite fijo de ocho iteraciones y un límite de tokens; cada llamada a herramienta queda registrada en una tabla propia (ai_tool_calls)</w:t>
      </w:r>
    </w:p>
    <w:p>
      <w:pPr>
        <w:pStyle w:val="ListBullet"/>
      </w:pPr>
      <w:r>
        <w:t>Quién revisó: la persona decide siempre cuándo enviar su resultado; un docente revisa los casos marcados para evaluación manual. La IA nunca ejecuta una acción administrativa.</w:t>
      </w:r>
    </w:p>
    <w:p>
      <w:pPr>
        <w:pStyle w:val="Heading3"/>
      </w:pPr>
      <w:r>
        <w:t>Claude Code (este proyecto final)</w:t>
      </w:r>
    </w:p>
    <w:p>
      <w:pPr>
        <w:pStyle w:val="ListBullet"/>
      </w:pPr>
      <w:r>
        <w:t>Tarea: construir y documentar la plataforma, generar las diapositivas, el guion bilingüe y los videos de la presentación a partir de las guías 02 y 18 y el prompt maestro del curso</w:t>
      </w:r>
    </w:p>
    <w:p>
      <w:pPr>
        <w:pStyle w:val="ListBullet"/>
      </w:pPr>
      <w:r>
        <w:t>Entrada: la especificación del curso, las plantillas oficiales de la presentación y las decisiones confirmadas por los autores en cada fase</w:t>
      </w:r>
    </w:p>
    <w:p>
      <w:pPr>
        <w:pStyle w:val="ListBullet"/>
      </w:pPr>
      <w:r>
        <w:t>Producto: código fuente, documentación, archivos .pptx, fotogramas de video renderizados y los dos videos finales</w:t>
      </w:r>
    </w:p>
    <w:p>
      <w:pPr>
        <w:pStyle w:val="ListBullet"/>
      </w:pPr>
      <w:r>
        <w:t>Quién revisó: los dos integrantes del subgrupo, que confirmaron cada fase antes de continuar (inventario, guion, presentaciones, voz, duración de los videos)</w:t>
      </w:r>
    </w:p>
    <w:p>
      <w:pPr>
        <w:pStyle w:val="Heading3"/>
      </w:pPr>
      <w:r>
        <w:t>ElevenLabs (texto a voz, modelo multilingüe, cuenta del paquete docente)</w:t>
      </w:r>
    </w:p>
    <w:p>
      <w:pPr>
        <w:pStyle w:val="ListBullet"/>
      </w:pPr>
      <w:r>
        <w:t>Tarea: generar la narración hablada en español y en inglés con la misma voz</w:t>
      </w:r>
    </w:p>
    <w:p>
      <w:pPr>
        <w:pStyle w:val="ListBullet"/>
      </w:pPr>
      <w:r>
        <w:t>Entrada: el guion escrito por los autores, diapositiva por diapositiva, ya validado por conteo de palabras y presupuesto de segundos</w:t>
      </w:r>
    </w:p>
    <w:p>
      <w:pPr>
        <w:pStyle w:val="ListBullet"/>
      </w:pPr>
      <w:r>
        <w:t>Producto: 20 archivos de audio (10 por idioma)</w:t>
      </w:r>
    </w:p>
    <w:p>
      <w:pPr>
        <w:pStyle w:val="ListBullet"/>
      </w:pPr>
      <w:r>
        <w:t>Quién revisó: pendiente de confirmación final: los autores deben escuchar cada archivo completo antes de la entrega, conforme a la lista de comprobación del curso</w:t>
      </w:r>
    </w:p>
    <w:p>
      <w:pPr>
        <w:pStyle w:val="Heading1"/>
      </w:pPr>
      <w:r>
        <w:t>4. Versiones</w:t>
      </w:r>
    </w:p>
    <w:p>
      <w:r>
        <w:rPr>
          <w:b w:val="0"/>
          <w:i w:val="0"/>
        </w:rPr>
        <w:t>Correspondencia entre archivos entregados y el estado del proyecto del que provienen, para que cualquier cambio futuro sea trazable:</w:t>
      </w:r>
    </w:p>
    <w:p>
      <w:pPr>
        <w:pStyle w:val="ListBullet"/>
      </w:pPr>
      <w:r>
        <w:t>Código de la plataforma: repositorio del proyecto, referencia de commit 6814c27 (2026-10-02).</w:t>
      </w:r>
    </w:p>
    <w:p>
      <w:pPr>
        <w:pStyle w:val="ListBullet"/>
      </w:pPr>
      <w:r>
        <w:t>Presentaciones: VC-2026-008-038_ProyectoFinal_ES.pptx y VC-2026-008-038_ProyectoFinal_EN.pptx, construidas sobre la plantilla oficial del curso (Plantilla_Proyecto_Final_ES/EN.pptx).</w:t>
      </w:r>
    </w:p>
    <w:p>
      <w:pPr>
        <w:pStyle w:val="ListBullet"/>
      </w:pPr>
      <w:r>
        <w:t>Capturas de pantalla: captura1-catalogo.png, captura2-simulacion.png, captura3-admin.png, tomadas de la plataforma desplegada en producción, sin datos personales reales (cuenta de desarrollo).</w:t>
      </w:r>
    </w:p>
    <w:p>
      <w:pPr>
        <w:pStyle w:val="ListBullet"/>
      </w:pPr>
      <w:r>
        <w:t>Narración: 20 archivos de audio ElevenLabs (voz George, modelo eleven_multilingual_v2), generados a partir del guion de las fases 2 y 4.</w:t>
      </w:r>
    </w:p>
    <w:p>
      <w:pPr>
        <w:pStyle w:val="ListBullet"/>
      </w:pPr>
      <w:r>
        <w:t>Videos finales: VC-2026-008-038_ProyectoFinal_ES.mp4 (4 min 32 s) y VC-2026-008-038_ProyectoFinal_EN.mp4 (4 min 44 s), 1920×1080, producidos a partir de las presentaciones y la narración anteriores.</w:t>
      </w:r>
    </w:p>
    <w:p>
      <w:pPr>
        <w:pStyle w:val="ListBullet"/>
      </w:pPr>
      <w:r>
        <w:t>Evidencia de pruebas: 68 pruebas de servidor y 19 pruebas de navegador de la misma referencia de commit citada arriba; no corresponden a una versión posterior del código.</w:t>
      </w:r>
    </w:p>
    <w:p>
      <w:r>
        <w:rPr>
          <w:b w:val="0"/>
          <w:i w:val="0"/>
        </w:rPr>
        <w:t>Un cambio en la regla de conteo de imágenes, en los límites del tutor de IA o en el código de la simulación invalida la evidencia citada en esta nota y exige repetir las pruebas antes de reutilizarla.</w:t>
      </w:r>
    </w:p>
    <w:p>
      <w:pPr>
        <w:pStyle w:val="Heading1"/>
      </w:pPr>
      <w:r>
        <w:t>5. Alcance y declaración de uso de inteligencia artificial</w:t>
      </w:r>
    </w:p>
    <w:p>
      <w:r>
        <w:rPr>
          <w:b w:val="0"/>
          <w:i w:val="0"/>
        </w:rPr>
        <w:t>Se puede concluir: que el flujo descrito (predicción, cálculo determinista, retroalimentación; carga de imagen, regla explícita de conteo, advertencia de ilegibilidad) funciona de principio a fin bajo las condiciones probadas, con 68 pruebas de servidor y 19 de navegador aprobadas, y que la plataforma corre en un servidor real.</w:t>
      </w:r>
    </w:p>
    <w:p>
      <w:r>
        <w:rPr>
          <w:b w:val="0"/>
          <w:i w:val="0"/>
        </w:rPr>
        <w:t>No se puede concluir: que la herramienta mejora el aprendizaje de los estudiantes, porque no se hizo un estudio con estudiantes reales ni se midió ese resultado; que el conteo de imágenes generaliza a fotografías distintas a las once probadas; ni que la plataforma soporta carga de producción a gran escala, porque no se hizo una prueba de carga.</w:t>
      </w:r>
    </w:p>
    <w:p>
      <w:r>
        <w:rPr>
          <w:b w:val="0"/>
          <w:i w:val="0"/>
        </w:rPr>
        <w:t>Declaración de uso de IA: la narración de los dos videos se generó con voz de inteligencia artificial (ElevenLabs) y fue revisada por los autores; así se indica en la portada de cada video. Las diapositivas, el guion y partes del código se construyeron con asistencia de un asistente de IA (Claude / Claude Code), bajo la dirección y revisión de los dos autores, quienes son responsables del contenido final. Ninguna afirmación de esta nota promete validez científica, publicación o reproducibilidad más allá de lo que la evidencia citada respalda.</w:t>
      </w:r>
    </w:p>
    <w:p>
      <w:pPr>
        <w:pStyle w:val="Heading1"/>
      </w:pPr>
      <w:r>
        <w:t>6. Plan de mantenimiento</w:t>
      </w:r>
    </w:p>
    <w:p>
      <w:r>
        <w:rPr>
          <w:b w:val="0"/>
          <w:i w:val="0"/>
        </w:rPr>
        <w:t>Rol responsable: Francisco Higuera (UTE) y Carlos Bermeo (UTPL), en partes iguales, como autores del subgrupo.</w:t>
      </w:r>
    </w:p>
    <w:p>
      <w:r>
        <w:rPr>
          <w:b w:val="0"/>
          <w:i w:val="0"/>
        </w:rPr>
        <w:t>Qué cambios activan una revisión:</w:t>
      </w:r>
    </w:p>
    <w:p>
      <w:pPr>
        <w:pStyle w:val="ListBullet"/>
      </w:pPr>
      <w:r>
        <w:t>Cualquier cambio en la regla de conteo de imágenes (umbral de saturación, área mínima o criterio de ilegibilidad): invalida el conjunto de prueba reservado y exige repetirlo antes de publicar el cambio.</w:t>
      </w:r>
    </w:p>
    <w:p>
      <w:pPr>
        <w:pStyle w:val="ListBullet"/>
      </w:pPr>
      <w:r>
        <w:t>Cualquier cambio en el límite de iteraciones o de tokens del tutor de IA, o en el proveedor de IA usado en producción (AIProvider).</w:t>
      </w:r>
    </w:p>
    <w:p>
      <w:pPr>
        <w:pStyle w:val="ListBullet"/>
      </w:pPr>
      <w:r>
        <w:t>Cualquier actualización de dependencias con impacto de seguridad reportado (backend o frontend).</w:t>
      </w:r>
    </w:p>
    <w:p>
      <w:pPr>
        <w:pStyle w:val="ListBullet"/>
      </w:pPr>
      <w:r>
        <w:t>Cualquier cambio en los permisos o roles que afecte quién puede revisar o aprobar un envío.</w:t>
      </w:r>
    </w:p>
    <w:p>
      <w:r>
        <w:rPr>
          <w:b w:val="0"/>
          <w:i w:val="0"/>
        </w:rPr>
        <w:t>Qué hacer si falla:</w:t>
      </w:r>
    </w:p>
    <w:p>
      <w:pPr>
        <w:pStyle w:val="ListBullet"/>
      </w:pPr>
      <w:r>
        <w:t>Detener el uso del resultado afectado: no publicar ni calificar con una evaluación que dependa de la parte que falló.</w:t>
      </w:r>
    </w:p>
    <w:p>
      <w:pPr>
        <w:pStyle w:val="ListBullet"/>
      </w:pPr>
      <w:r>
        <w:t>Conservar la evidencia: registros de la tabla de auditoría, los registros de llamadas a herramientas de IA (ai_tool_calls) y la imagen o el envío en cuestión.</w:t>
      </w:r>
    </w:p>
    <w:p>
      <w:pPr>
        <w:pStyle w:val="ListBullet"/>
      </w:pPr>
      <w:r>
        <w:t>Revisar el caso manualmente entre los dos autores y decidir si se corrige, se repite la prueba o se retira la práctica afectada hasta corregirla.</w:t>
      </w:r>
    </w:p>
    <w:p>
      <w:r>
        <w:rPr>
          <w:b w:val="0"/>
          <w:i w:val="0"/>
        </w:rPr>
        <w:t>Lo que todavía no existe al momento de escribir esta nota —la confirmación de escucha completa de los 20 audios, la publicación del repositorio público con GitHub Pages y el registro de la entrega en la plataforma del curso— queda marcado como pendiente en esta nota y se completa antes del 12 de octubre de 2026, 23:59, hora de Ecuador.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